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124F" w:rsidRDefault="00F5124F">
      <w:pPr>
        <w:rPr>
          <w:rFonts w:ascii="Times New Roman" w:hAnsi="Times New Roman" w:cs="Times New Roman"/>
          <w:sz w:val="24"/>
          <w:szCs w:val="24"/>
        </w:rPr>
      </w:pPr>
    </w:p>
    <w:p w:rsidR="00F5124F" w:rsidRPr="00011606" w:rsidRDefault="00F5124F" w:rsidP="00F5124F">
      <w:pPr>
        <w:jc w:val="center"/>
        <w:rPr>
          <w:rFonts w:ascii="Calibri" w:eastAsia="Calibri" w:hAnsi="Calibri" w:cs="Calibri"/>
          <w:b/>
          <w:sz w:val="20"/>
          <w:szCs w:val="20"/>
          <w:lang w:eastAsia="en-US"/>
        </w:rPr>
      </w:pPr>
      <w:r w:rsidRPr="00011606">
        <w:rPr>
          <w:rFonts w:ascii="Calibri" w:eastAsia="Calibri" w:hAnsi="Calibri" w:cs="Calibri"/>
          <w:b/>
          <w:sz w:val="20"/>
          <w:szCs w:val="20"/>
          <w:lang w:eastAsia="en-US"/>
        </w:rPr>
        <w:t>PAŃSTWOWA AKADEMIA NAUK STOSOWANYCH</w:t>
      </w:r>
    </w:p>
    <w:p w:rsidR="00F5124F" w:rsidRPr="00011606" w:rsidRDefault="00F5124F" w:rsidP="00F5124F">
      <w:pPr>
        <w:jc w:val="center"/>
        <w:rPr>
          <w:rFonts w:ascii="Calibri" w:eastAsia="Calibri" w:hAnsi="Calibri" w:cs="Calibri"/>
          <w:b/>
          <w:sz w:val="20"/>
          <w:szCs w:val="20"/>
          <w:lang w:eastAsia="en-US"/>
        </w:rPr>
      </w:pPr>
      <w:r w:rsidRPr="00011606">
        <w:rPr>
          <w:rFonts w:ascii="Calibri" w:eastAsia="Calibri" w:hAnsi="Calibri" w:cs="Calibri"/>
          <w:b/>
          <w:sz w:val="20"/>
          <w:szCs w:val="20"/>
          <w:lang w:eastAsia="en-US"/>
        </w:rPr>
        <w:t>im. Ignacego Mościckiego</w:t>
      </w:r>
      <w:r w:rsidRPr="00011606">
        <w:rPr>
          <w:rFonts w:ascii="Calibri" w:eastAsia="Calibri" w:hAnsi="Calibri" w:cs="Calibri"/>
          <w:b/>
          <w:sz w:val="20"/>
          <w:szCs w:val="20"/>
          <w:lang w:eastAsia="en-US"/>
        </w:rPr>
        <w:br/>
        <w:t>w CIECHANOWIE</w:t>
      </w:r>
    </w:p>
    <w:p w:rsidR="00F5124F" w:rsidRPr="00011606" w:rsidRDefault="00F5124F" w:rsidP="00F5124F">
      <w:pPr>
        <w:ind w:firstLine="2"/>
        <w:jc w:val="center"/>
        <w:rPr>
          <w:rFonts w:ascii="Calibri" w:eastAsia="Calibri" w:hAnsi="Calibri" w:cs="Calibri"/>
          <w:b/>
          <w:sz w:val="20"/>
          <w:szCs w:val="20"/>
          <w:lang w:eastAsia="en-US"/>
        </w:rPr>
      </w:pPr>
      <w:r w:rsidRPr="00011606">
        <w:rPr>
          <w:rFonts w:ascii="Calibri" w:eastAsia="Calibri" w:hAnsi="Calibri" w:cs="Calibri"/>
          <w:b/>
          <w:sz w:val="20"/>
          <w:szCs w:val="20"/>
          <w:lang w:eastAsia="en-US"/>
        </w:rPr>
        <w:t>ul. Gabriela Narutowicza 9, 06-400 Ciechanów</w:t>
      </w:r>
    </w:p>
    <w:p w:rsidR="00F5124F" w:rsidRPr="00011606" w:rsidRDefault="00F5124F" w:rsidP="00F5124F">
      <w:pPr>
        <w:jc w:val="center"/>
        <w:rPr>
          <w:rFonts w:ascii="Calibri" w:eastAsia="Calibri" w:hAnsi="Calibri" w:cs="Calibri"/>
          <w:b/>
          <w:sz w:val="20"/>
          <w:szCs w:val="20"/>
          <w:lang w:eastAsia="en-US"/>
        </w:rPr>
      </w:pPr>
      <w:r w:rsidRPr="00011606">
        <w:rPr>
          <w:rFonts w:asciiTheme="minorHAnsi" w:eastAsia="Calibri" w:hAnsiTheme="minorHAnsi" w:cstheme="minorBidi"/>
          <w:b/>
          <w:sz w:val="20"/>
          <w:szCs w:val="20"/>
          <w:lang w:eastAsia="en-US"/>
        </w:rPr>
        <w:t>____________________________________________________________________________</w:t>
      </w:r>
    </w:p>
    <w:p w:rsidR="00F5124F" w:rsidRPr="00E56EC2" w:rsidRDefault="00F5124F" w:rsidP="00F5124F">
      <w:pPr>
        <w:pStyle w:val="Default"/>
        <w:jc w:val="both"/>
        <w:rPr>
          <w:rFonts w:ascii="Times New Roman" w:hAnsi="Times New Roman" w:cs="Times New Roman"/>
          <w:bCs/>
          <w:color w:val="auto"/>
        </w:rPr>
      </w:pPr>
      <w:r>
        <w:rPr>
          <w:rFonts w:ascii="Times New Roman" w:hAnsi="Times New Roman" w:cs="Times New Roman"/>
          <w:bCs/>
          <w:color w:val="auto"/>
        </w:rPr>
        <w:t>KAI.262</w:t>
      </w:r>
      <w:r w:rsidR="00D13886" w:rsidRPr="00D13886">
        <w:rPr>
          <w:rFonts w:ascii="Times New Roman" w:hAnsi="Times New Roman" w:cs="Times New Roman"/>
          <w:bCs/>
          <w:color w:val="auto"/>
        </w:rPr>
        <w:t>.76.</w:t>
      </w:r>
      <w:r w:rsidRPr="00E56EC2">
        <w:rPr>
          <w:rFonts w:ascii="Times New Roman" w:hAnsi="Times New Roman" w:cs="Times New Roman"/>
          <w:bCs/>
          <w:color w:val="auto"/>
        </w:rPr>
        <w:t xml:space="preserve">2026                                                                                 </w:t>
      </w:r>
      <w:r>
        <w:rPr>
          <w:rFonts w:ascii="Times New Roman" w:hAnsi="Times New Roman" w:cs="Times New Roman"/>
          <w:bCs/>
          <w:color w:val="auto"/>
        </w:rPr>
        <w:t xml:space="preserve">                 Załącznik nr 2</w:t>
      </w:r>
      <w:r w:rsidRPr="00E56EC2">
        <w:rPr>
          <w:rFonts w:ascii="Times New Roman" w:hAnsi="Times New Roman" w:cs="Times New Roman"/>
          <w:bCs/>
          <w:color w:val="auto"/>
        </w:rPr>
        <w:t xml:space="preserve"> </w:t>
      </w:r>
    </w:p>
    <w:p w:rsidR="00F5124F" w:rsidRPr="00224FF3" w:rsidRDefault="00F5124F" w:rsidP="00F5124F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F5124F" w:rsidRPr="00224FF3" w:rsidRDefault="00F5124F" w:rsidP="00F5124F">
      <w:pPr>
        <w:pStyle w:val="Default"/>
        <w:jc w:val="both"/>
        <w:rPr>
          <w:rFonts w:ascii="Times New Roman" w:hAnsi="Times New Roman" w:cs="Times New Roman"/>
          <w:b/>
          <w:bCs/>
          <w:color w:val="auto"/>
        </w:rPr>
      </w:pPr>
    </w:p>
    <w:p w:rsidR="00F5124F" w:rsidRDefault="00F5124F" w:rsidP="00F5124F">
      <w:pPr>
        <w:pStyle w:val="Default"/>
        <w:jc w:val="center"/>
        <w:rPr>
          <w:rFonts w:ascii="Times New Roman" w:hAnsi="Times New Roman" w:cs="Times New Roman"/>
          <w:b/>
          <w:bCs/>
          <w:color w:val="auto"/>
        </w:rPr>
      </w:pPr>
      <w:r w:rsidRPr="00224FF3">
        <w:rPr>
          <w:rFonts w:ascii="Times New Roman" w:hAnsi="Times New Roman" w:cs="Times New Roman"/>
          <w:b/>
          <w:bCs/>
          <w:color w:val="auto"/>
        </w:rPr>
        <w:t>OPIS PRZEDMIOTU ZAMÓWIENIA (OPZ)</w:t>
      </w:r>
    </w:p>
    <w:p w:rsidR="00F5124F" w:rsidRDefault="00F5124F">
      <w:pPr>
        <w:rPr>
          <w:rFonts w:ascii="Times New Roman" w:hAnsi="Times New Roman" w:cs="Times New Roman"/>
          <w:sz w:val="24"/>
          <w:szCs w:val="24"/>
        </w:rPr>
      </w:pPr>
    </w:p>
    <w:p w:rsidR="00F5124F" w:rsidRPr="00F5124F" w:rsidRDefault="00C718A1" w:rsidP="00F5124F">
      <w:pPr>
        <w:jc w:val="both"/>
        <w:rPr>
          <w:rFonts w:ascii="Times New Roman" w:hAnsi="Times New Roman" w:cs="Times New Roman"/>
          <w:i/>
          <w:sz w:val="18"/>
          <w:szCs w:val="18"/>
        </w:rPr>
      </w:pPr>
      <w:r>
        <w:rPr>
          <w:rFonts w:ascii="Times New Roman" w:hAnsi="Times New Roman" w:cs="Times New Roman"/>
          <w:i/>
          <w:sz w:val="18"/>
          <w:szCs w:val="18"/>
        </w:rPr>
        <w:t>Dotyczy umowy</w:t>
      </w:r>
      <w:r w:rsidR="00F5124F" w:rsidRPr="00F5124F">
        <w:rPr>
          <w:rFonts w:ascii="Times New Roman" w:hAnsi="Times New Roman" w:cs="Times New Roman"/>
          <w:i/>
          <w:sz w:val="18"/>
          <w:szCs w:val="18"/>
        </w:rPr>
        <w:t xml:space="preserve"> o dofinansowanie Projektu: W </w:t>
      </w:r>
      <w:proofErr w:type="spellStart"/>
      <w:r w:rsidR="00F5124F" w:rsidRPr="00F5124F">
        <w:rPr>
          <w:rFonts w:ascii="Times New Roman" w:hAnsi="Times New Roman" w:cs="Times New Roman"/>
          <w:i/>
          <w:sz w:val="18"/>
          <w:szCs w:val="18"/>
        </w:rPr>
        <w:t>PANSim</w:t>
      </w:r>
      <w:proofErr w:type="spellEnd"/>
      <w:r w:rsidR="00F5124F" w:rsidRPr="00F5124F">
        <w:rPr>
          <w:rFonts w:ascii="Times New Roman" w:hAnsi="Times New Roman" w:cs="Times New Roman"/>
          <w:i/>
          <w:sz w:val="18"/>
          <w:szCs w:val="18"/>
        </w:rPr>
        <w:t xml:space="preserve"> Razem do Dyplomu w ramach programu Fundusze Europejskie dla Rozwoju Społecznego 2021-2027 współfinansowanego ze środków Europejskiego Funduszu Społecznego Plus.</w:t>
      </w:r>
    </w:p>
    <w:p w:rsidR="00F5124F" w:rsidRDefault="00F5124F">
      <w:pPr>
        <w:rPr>
          <w:rFonts w:ascii="Times New Roman" w:hAnsi="Times New Roman" w:cs="Times New Roman"/>
          <w:sz w:val="24"/>
          <w:szCs w:val="24"/>
        </w:rPr>
      </w:pPr>
    </w:p>
    <w:p w:rsidR="00F5124F" w:rsidRPr="00603192" w:rsidRDefault="00F5124F" w:rsidP="00F5124F">
      <w:pPr>
        <w:spacing w:after="9"/>
        <w:ind w:right="40" w:firstLine="723"/>
        <w:jc w:val="center"/>
        <w:rPr>
          <w:rFonts w:ascii="Times New Roman" w:eastAsia="Times New Roman" w:hAnsi="Times New Roman" w:cs="Times New Roman"/>
          <w:b/>
          <w:sz w:val="24"/>
        </w:rPr>
      </w:pPr>
      <w:r w:rsidRPr="00603192">
        <w:rPr>
          <w:rFonts w:ascii="Times New Roman" w:eastAsia="Times New Roman" w:hAnsi="Times New Roman" w:cs="Times New Roman"/>
          <w:b/>
          <w:sz w:val="24"/>
        </w:rPr>
        <w:t>Zakup i dostawa komputera stacjonarnego zintegrowanego z monitorem w jednej obudowie (</w:t>
      </w:r>
      <w:proofErr w:type="spellStart"/>
      <w:r w:rsidRPr="00603192">
        <w:rPr>
          <w:rFonts w:ascii="Times New Roman" w:eastAsia="Times New Roman" w:hAnsi="Times New Roman" w:cs="Times New Roman"/>
          <w:b/>
          <w:sz w:val="24"/>
        </w:rPr>
        <w:t>All</w:t>
      </w:r>
      <w:proofErr w:type="spellEnd"/>
      <w:r w:rsidRPr="00603192">
        <w:rPr>
          <w:rFonts w:ascii="Times New Roman" w:eastAsia="Times New Roman" w:hAnsi="Times New Roman" w:cs="Times New Roman"/>
          <w:b/>
          <w:sz w:val="24"/>
        </w:rPr>
        <w:t>-in-One)</w:t>
      </w:r>
      <w:r>
        <w:rPr>
          <w:rFonts w:ascii="Times New Roman" w:eastAsia="Times New Roman" w:hAnsi="Times New Roman" w:cs="Times New Roman"/>
          <w:b/>
          <w:sz w:val="24"/>
        </w:rPr>
        <w:t>.</w:t>
      </w:r>
    </w:p>
    <w:p w:rsidR="00F5124F" w:rsidRDefault="00F5124F">
      <w:pPr>
        <w:rPr>
          <w:rFonts w:ascii="Times New Roman" w:hAnsi="Times New Roman" w:cs="Times New Roman"/>
          <w:sz w:val="24"/>
          <w:szCs w:val="24"/>
        </w:rPr>
      </w:pPr>
    </w:p>
    <w:p w:rsidR="00F5124F" w:rsidRPr="00F5124F" w:rsidRDefault="00F5124F" w:rsidP="00F5124F">
      <w:pPr>
        <w:pStyle w:val="Akapitzlist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F5124F">
        <w:rPr>
          <w:rFonts w:ascii="Times New Roman" w:hAnsi="Times New Roman" w:cs="Times New Roman"/>
          <w:b/>
          <w:sz w:val="24"/>
          <w:szCs w:val="24"/>
        </w:rPr>
        <w:t>Szczegółowy opis przedmiotu zamówienia</w:t>
      </w:r>
    </w:p>
    <w:p w:rsidR="003875FA" w:rsidRPr="00F67512" w:rsidRDefault="003875FA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"/>
        <w:tblW w:w="10348" w:type="dxa"/>
        <w:tblInd w:w="-57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9"/>
        <w:gridCol w:w="3260"/>
        <w:gridCol w:w="6379"/>
      </w:tblGrid>
      <w:tr w:rsidR="003875FA" w:rsidRPr="00F67512" w:rsidTr="00F5124F">
        <w:trPr>
          <w:trHeight w:val="517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b/>
                <w:color w:val="1F1F1F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</w:rPr>
              <w:t>LP.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b/>
                <w:color w:val="1F1F1F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</w:rPr>
              <w:t>PODZESPÓŁ / PARAMETR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shd w:val="clear" w:color="auto" w:fill="EFEFEF"/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b/>
                <w:color w:val="1F1F1F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</w:rPr>
              <w:t>WYMAGANIA</w:t>
            </w:r>
          </w:p>
        </w:tc>
      </w:tr>
      <w:tr w:rsidR="003875FA" w:rsidRPr="00F67512" w:rsidTr="00F5124F">
        <w:trPr>
          <w:trHeight w:val="766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Typ urządzenia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D13886">
            <w:pPr>
              <w:rPr>
                <w:rFonts w:ascii="Times New Roman" w:hAnsi="Times New Roman" w:cs="Times New Roman"/>
                <w:color w:val="1F1F1F"/>
              </w:rPr>
            </w:pPr>
            <w:r>
              <w:rPr>
                <w:rFonts w:ascii="Times New Roman" w:hAnsi="Times New Roman" w:cs="Times New Roman"/>
                <w:color w:val="1F1F1F"/>
              </w:rPr>
              <w:t>Fabrycznie nowy k</w:t>
            </w:r>
            <w:bookmarkStart w:id="0" w:name="_GoBack"/>
            <w:bookmarkEnd w:id="0"/>
            <w:r w:rsidR="00F173AC" w:rsidRPr="00F67512">
              <w:rPr>
                <w:rFonts w:ascii="Times New Roman" w:hAnsi="Times New Roman" w:cs="Times New Roman"/>
                <w:color w:val="1F1F1F"/>
              </w:rPr>
              <w:t>omputer stacjonarny zintegrowany z monitorem w jednej obudowie (</w:t>
            </w:r>
            <w:proofErr w:type="spellStart"/>
            <w:r w:rsidR="00F173AC" w:rsidRPr="00F67512">
              <w:rPr>
                <w:rFonts w:ascii="Times New Roman" w:hAnsi="Times New Roman" w:cs="Times New Roman"/>
                <w:color w:val="1F1F1F"/>
              </w:rPr>
              <w:t>All</w:t>
            </w:r>
            <w:proofErr w:type="spellEnd"/>
            <w:r w:rsidR="00F173AC" w:rsidRPr="00F67512">
              <w:rPr>
                <w:rFonts w:ascii="Times New Roman" w:hAnsi="Times New Roman" w:cs="Times New Roman"/>
                <w:color w:val="1F1F1F"/>
              </w:rPr>
              <w:t>-in-One).</w:t>
            </w:r>
          </w:p>
        </w:tc>
      </w:tr>
      <w:tr w:rsidR="003875FA" w:rsidRPr="00F67512" w:rsidTr="00F5124F">
        <w:trPr>
          <w:trHeight w:val="1263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2.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Ekran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Przekątna: min. 27 cali.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Technologia: IPS (In-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Plane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 xml:space="preserve">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Switching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) lub równoważna.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Rozdzielczość: min. 1920 x 1080 (Full HD).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Powłoka matrycy: Matowa (antyrefleksyjna).</w:t>
            </w:r>
          </w:p>
        </w:tc>
      </w:tr>
      <w:tr w:rsidR="003875FA" w:rsidRPr="00F67512" w:rsidTr="00F5124F">
        <w:trPr>
          <w:trHeight w:val="2819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3.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Procesor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Procesor w architekturze x86 (14. generacji lub nowszy/równoważny).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• Liczba rdzeni fizycznych: min. 10 (w architekturze hybrydowej: min. 6 rdzeni Performance + 4 rdzenie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Efficient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Liczba wątków: min. 16.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Taktowanie w trybie Turbo: min. 4.7 GHz.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Pamięć podręczna (Cache): min. 20 MB.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i/>
                <w:iCs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• Wydajność: Wynik w teście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PassMark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 xml:space="preserve"> CPU Mark (wg cpubenchmark.net) na poziomie min. 24 500 punktów.</w:t>
            </w:r>
          </w:p>
        </w:tc>
      </w:tr>
      <w:tr w:rsidR="003875FA" w:rsidRPr="00F67512" w:rsidTr="00F5124F"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4.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Pamięć RAM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Zainstalowana: 16 GB.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Technologia: DDR5.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• Możliwość rozbudowy: Tak, dwa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sloty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 xml:space="preserve"> SO-DIMM (obsługa do min. 64 GB).</w:t>
            </w:r>
          </w:p>
        </w:tc>
      </w:tr>
      <w:tr w:rsidR="003875FA" w:rsidRPr="00F67512" w:rsidTr="00F5124F"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lastRenderedPageBreak/>
              <w:t>5.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Dysk twardy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Pojemność: min. 512 GB.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• Technologia: SSD M.2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PCIe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 xml:space="preserve">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NVMe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.</w:t>
            </w:r>
          </w:p>
        </w:tc>
      </w:tr>
      <w:tr w:rsidR="003875FA" w:rsidRPr="00F67512" w:rsidTr="00F5124F">
        <w:trPr>
          <w:trHeight w:val="93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6.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Możliwość rozbudowy dysków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Urządzenie musi posiadać dedykowaną kieszeń na dysk 2.5”, umożliwiającą instalację lub wymianę dodatkowego dysku HDD/SSD.</w:t>
            </w:r>
          </w:p>
        </w:tc>
      </w:tr>
      <w:tr w:rsidR="003875FA" w:rsidRPr="00F67512" w:rsidTr="00F5124F">
        <w:trPr>
          <w:trHeight w:val="27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7.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Karta graficzna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Zintegrowana z procesorem, obsługująca rozdzielczość 4K przy 60Hz.</w:t>
            </w:r>
          </w:p>
        </w:tc>
      </w:tr>
      <w:tr w:rsidR="003875FA" w:rsidRPr="00F67512" w:rsidTr="00F5124F">
        <w:trPr>
          <w:trHeight w:val="795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8.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Dźwięk i Multimedia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Wbudowane głośniki stereo (min. 2x 2.5W).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Wbudowana kamera internetowa o rozdzielczości min. Full HD (1080p) wyposażona w fizyczną zasłonę prywatności.</w:t>
            </w:r>
          </w:p>
        </w:tc>
      </w:tr>
      <w:tr w:rsidR="003875FA" w:rsidRPr="00F67512" w:rsidTr="00F5124F"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9.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Złącza i Porty – Lokalizacja boczna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Złącza umieszczone w łatwo dostępnym miejscu na bocznej krawędzi ekranu: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i/>
                <w:iCs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Min. 2x USB 3.2 Gen 1 Typu A.</w:t>
            </w:r>
          </w:p>
        </w:tc>
      </w:tr>
      <w:tr w:rsidR="003875FA" w:rsidRPr="00F67512" w:rsidTr="00F5124F">
        <w:trPr>
          <w:trHeight w:val="1845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10.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Złącza i Porty – Pozostałe (Tył)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Min. 1x USB 3.2 Gen 2 Typu C.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Min. 1x USB 3.2 Gen 2 Typu 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Min. 2x USB 2.0 Typu 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1x RJ-45 (Gigabit LAN).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i/>
                <w:iCs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• 1x Wyjście słuchawkowe/wejście mikrofonowe (Combo Jack) - </w:t>
            </w:r>
            <w:r w:rsidRPr="00F67512">
              <w:rPr>
                <w:rFonts w:ascii="Times New Roman" w:hAnsi="Times New Roman" w:cs="Times New Roman"/>
                <w:i/>
                <w:iCs/>
                <w:color w:val="1F1F1F"/>
              </w:rPr>
              <w:t>dopuszczalna lokalizacja bok lub tył.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1x HDMI wejście (HDMI-In) – funkcja monitora.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1x HDMI wyjście (HDMI-Out).</w:t>
            </w:r>
          </w:p>
        </w:tc>
      </w:tr>
      <w:tr w:rsidR="003875FA" w:rsidRPr="00F67512" w:rsidTr="00F5124F"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11.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Funkcjonalność Monitora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Funkcja automatycznego włączania ekranu po wykryciu sygnału na porcie wejściowym HDMI (HDMI-In).</w:t>
            </w:r>
          </w:p>
        </w:tc>
      </w:tr>
      <w:tr w:rsidR="003875FA" w:rsidRPr="00F67512" w:rsidTr="00F5124F">
        <w:trPr>
          <w:trHeight w:val="127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12.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Sterowanie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Fizyczny joystick (nawigator 5-kierunkowy) do obsługi menu OSD monitora, umieszczony na tylnej obudowie urządzenia.</w:t>
            </w:r>
          </w:p>
        </w:tc>
      </w:tr>
      <w:tr w:rsidR="003875FA" w:rsidRPr="00F67512" w:rsidTr="00F5124F">
        <w:trPr>
          <w:trHeight w:val="81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13.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Komunikacja bezprzewodowa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Karta sieciowa Wi-Fi 6E (802.11ax) + Bluetooth 5.3.</w:t>
            </w:r>
          </w:p>
        </w:tc>
      </w:tr>
      <w:tr w:rsidR="003875FA" w:rsidRPr="00F67512" w:rsidTr="00F5124F">
        <w:trPr>
          <w:trHeight w:val="975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14.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Podstawa i Ergonomia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Podstawa zintegrowana z pełną regulacją wysokości (zakres regulacji góra-dół: min. 120 mm).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Regulacja pochylenia (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Tilt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): min. w zakresie od -4° do +20°.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Standard montażu VESA (75x75 mm lub 100x100 mm).</w:t>
            </w:r>
          </w:p>
        </w:tc>
      </w:tr>
      <w:tr w:rsidR="003875FA" w:rsidRPr="00F67512" w:rsidTr="00F5124F">
        <w:trPr>
          <w:trHeight w:val="81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15.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System operacyjny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Microsoft Windows 11 Pro PL 64-bit (lub równoważny), zainstalowany fabrycznie.</w:t>
            </w:r>
          </w:p>
        </w:tc>
      </w:tr>
      <w:tr w:rsidR="003875FA" w:rsidRPr="00F67512" w:rsidTr="00F5124F">
        <w:trPr>
          <w:trHeight w:val="54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lastRenderedPageBreak/>
              <w:t>16.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Zasilanie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Zasilacz zewnętrzny o mocy max. 120W.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Kabel zasilający: Dołączony, standard polski (typ E/F), długość min. 1.5m.</w:t>
            </w:r>
          </w:p>
        </w:tc>
      </w:tr>
      <w:tr w:rsidR="003875FA" w:rsidRPr="00F67512" w:rsidTr="00F5124F">
        <w:trPr>
          <w:trHeight w:val="540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17.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Gwarancja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Min. 36 miesięcy gwarancji producenta.</w:t>
            </w:r>
          </w:p>
        </w:tc>
      </w:tr>
      <w:tr w:rsidR="003875FA" w:rsidRPr="00F67512" w:rsidTr="00F5124F">
        <w:trPr>
          <w:trHeight w:val="409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18.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Zabezpieczenia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 xml:space="preserve">Gniazdo blokady 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Kensington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 xml:space="preserve"> Lock, moduł TPM 2.0.</w:t>
            </w:r>
          </w:p>
        </w:tc>
      </w:tr>
      <w:tr w:rsidR="003875FA" w:rsidRPr="00F67512" w:rsidTr="00F5124F">
        <w:trPr>
          <w:trHeight w:val="2578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19.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Oprogramowanie biurowe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Pakiet oprogramowania biurowego: Microsoft Office 2024 Standard PL (licencja Edukacyjna/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Academic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) lub równoważny.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Typ licencji: Licencja bezterminowa (wieczysta), przypisana do urządzenia, do zastosowań komercyjnych w edukacji.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Wersja językowa: Polska.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Skład pakietu: Aplikacje desktopowe (offline): Edytor tekstu, Arkusz kalkulacyjny, Narzędzie do prezentacji, Klient poczty, Notatnik cyfrowy.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Kompatybilność: Pełna zgodność z systemem Windows 11.</w:t>
            </w:r>
          </w:p>
        </w:tc>
      </w:tr>
      <w:tr w:rsidR="003875FA" w:rsidRPr="00F67512" w:rsidTr="00F5124F">
        <w:trPr>
          <w:trHeight w:val="1594"/>
        </w:trPr>
        <w:tc>
          <w:tcPr>
            <w:tcW w:w="70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20.</w:t>
            </w:r>
          </w:p>
        </w:tc>
        <w:tc>
          <w:tcPr>
            <w:tcW w:w="3260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</w:pPr>
            <w:r w:rsidRPr="00F67512">
              <w:rPr>
                <w:rFonts w:ascii="Times New Roman" w:hAnsi="Times New Roman" w:cs="Times New Roman"/>
                <w:b/>
                <w:bCs/>
                <w:color w:val="1F1F1F"/>
                <w:sz w:val="24"/>
                <w:szCs w:val="24"/>
              </w:rPr>
              <w:t>Wyposażenie dodatkowe</w:t>
            </w:r>
          </w:p>
        </w:tc>
        <w:tc>
          <w:tcPr>
            <w:tcW w:w="6379" w:type="dxa"/>
            <w:tcBorders>
              <w:top w:val="single" w:sz="4" w:space="0" w:color="1F1F1F"/>
              <w:left w:val="single" w:sz="4" w:space="0" w:color="1F1F1F"/>
              <w:bottom w:val="single" w:sz="4" w:space="0" w:color="1F1F1F"/>
              <w:right w:val="single" w:sz="4" w:space="0" w:color="1F1F1F"/>
            </w:tcBorders>
            <w:tcMar>
              <w:top w:w="120" w:type="dxa"/>
              <w:left w:w="180" w:type="dxa"/>
              <w:bottom w:w="120" w:type="dxa"/>
              <w:right w:w="180" w:type="dxa"/>
            </w:tcMar>
          </w:tcPr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Klawiatura: Pełnowymiarowa (z blokiem numerycznym), układ polski programisty (US QWERTY), interfejs USB, kolor spójny z kolorem obudowy komputera.</w:t>
            </w:r>
          </w:p>
          <w:p w:rsidR="003875FA" w:rsidRPr="00F67512" w:rsidRDefault="00F173AC">
            <w:pPr>
              <w:rPr>
                <w:rFonts w:ascii="Times New Roman" w:hAnsi="Times New Roman" w:cs="Times New Roman"/>
                <w:color w:val="1F1F1F"/>
              </w:rPr>
            </w:pPr>
            <w:r w:rsidRPr="00F67512">
              <w:rPr>
                <w:rFonts w:ascii="Times New Roman" w:hAnsi="Times New Roman" w:cs="Times New Roman"/>
                <w:color w:val="1F1F1F"/>
              </w:rPr>
              <w:t>• Mysz: Optyczna, min. 2 przyciski + rolka przewijania (</w:t>
            </w:r>
            <w:proofErr w:type="spellStart"/>
            <w:r w:rsidRPr="00F67512">
              <w:rPr>
                <w:rFonts w:ascii="Times New Roman" w:hAnsi="Times New Roman" w:cs="Times New Roman"/>
                <w:color w:val="1F1F1F"/>
              </w:rPr>
              <w:t>scroll</w:t>
            </w:r>
            <w:proofErr w:type="spellEnd"/>
            <w:r w:rsidRPr="00F67512">
              <w:rPr>
                <w:rFonts w:ascii="Times New Roman" w:hAnsi="Times New Roman" w:cs="Times New Roman"/>
                <w:color w:val="1F1F1F"/>
              </w:rPr>
              <w:t>), interfejs USB, kolor spójny z kolorem obudowy</w:t>
            </w:r>
            <w:r w:rsidR="00F5124F">
              <w:rPr>
                <w:rFonts w:ascii="Times New Roman" w:hAnsi="Times New Roman" w:cs="Times New Roman"/>
                <w:color w:val="1F1F1F"/>
              </w:rPr>
              <w:t xml:space="preserve"> komputera.</w:t>
            </w:r>
          </w:p>
        </w:tc>
      </w:tr>
    </w:tbl>
    <w:p w:rsidR="003875FA" w:rsidRPr="00F67512" w:rsidRDefault="00F5124F">
      <w:pPr>
        <w:pStyle w:val="Nagwek3"/>
        <w:keepNext w:val="0"/>
        <w:keepLines w:val="0"/>
        <w:spacing w:before="28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1" w:name="_jvxc0ok4n1v4" w:colFirst="0" w:colLast="0"/>
      <w:bookmarkEnd w:id="1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II.  </w:t>
      </w:r>
      <w:r w:rsidR="00F173AC" w:rsidRPr="00F67512">
        <w:rPr>
          <w:rFonts w:ascii="Times New Roman" w:hAnsi="Times New Roman" w:cs="Times New Roman"/>
          <w:b/>
          <w:bCs/>
          <w:color w:val="000000"/>
          <w:sz w:val="24"/>
          <w:szCs w:val="24"/>
        </w:rPr>
        <w:t>Klauzula równoważności</w:t>
      </w:r>
    </w:p>
    <w:p w:rsidR="003875FA" w:rsidRPr="00F67512" w:rsidRDefault="00F173AC">
      <w:pPr>
        <w:spacing w:before="240" w:after="240"/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b/>
          <w:bCs/>
          <w:sz w:val="24"/>
          <w:szCs w:val="24"/>
        </w:rPr>
        <w:t>1. Równoważność sprzętowa:</w:t>
      </w:r>
      <w:r w:rsidRPr="00F67512">
        <w:rPr>
          <w:rFonts w:ascii="Times New Roman" w:hAnsi="Times New Roman" w:cs="Times New Roman"/>
          <w:sz w:val="24"/>
          <w:szCs w:val="24"/>
        </w:rPr>
        <w:t xml:space="preserve"> Wszędzie tam, gdzie w opisie przedmiotu zamówienia wskazane są znaki towarowe, patenty lub pochodzenie (np. nazwy procesorów, standardy złącz), Zamawiający dopuszcza zaoferowanie rozwiązań równoważnych pod warunkiem, że zagwarantują one realizację zamówienia w zgodzie z opisem przedmiotu zamówienia oraz zapewnią parametry techniczne (w szczególności wydajność obliczeniową wg testu </w:t>
      </w:r>
      <w:proofErr w:type="spellStart"/>
      <w:r w:rsidRPr="00F67512">
        <w:rPr>
          <w:rFonts w:ascii="Times New Roman" w:hAnsi="Times New Roman" w:cs="Times New Roman"/>
          <w:sz w:val="24"/>
          <w:szCs w:val="24"/>
        </w:rPr>
        <w:t>PassMark</w:t>
      </w:r>
      <w:proofErr w:type="spellEnd"/>
      <w:r w:rsidRPr="00F67512">
        <w:rPr>
          <w:rFonts w:ascii="Times New Roman" w:hAnsi="Times New Roman" w:cs="Times New Roman"/>
          <w:sz w:val="24"/>
          <w:szCs w:val="24"/>
        </w:rPr>
        <w:t>), eksploatacyjne i funkcjonalne nie gorsze niż te przedstawione w opisie.</w:t>
      </w:r>
    </w:p>
    <w:p w:rsidR="003875FA" w:rsidRPr="00F67512" w:rsidRDefault="00F173AC">
      <w:pPr>
        <w:spacing w:before="240" w:after="240"/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b/>
          <w:bCs/>
          <w:sz w:val="24"/>
          <w:szCs w:val="24"/>
        </w:rPr>
        <w:t>2. Równoważność dla oprogramowania biurowego:</w:t>
      </w:r>
      <w:r w:rsidRPr="00F67512">
        <w:rPr>
          <w:rFonts w:ascii="Times New Roman" w:hAnsi="Times New Roman" w:cs="Times New Roman"/>
          <w:sz w:val="24"/>
          <w:szCs w:val="24"/>
        </w:rPr>
        <w:t xml:space="preserve"> W przypadku zaoferowania oprogramowania równoważnego do wskazanego Microsoft Office 2024 Standard, wykonawca musi wykazać, że oferowany pakiet:</w:t>
      </w:r>
    </w:p>
    <w:p w:rsidR="003875FA" w:rsidRPr="00F67512" w:rsidRDefault="00F173AC">
      <w:pPr>
        <w:numPr>
          <w:ilvl w:val="0"/>
          <w:numId w:val="1"/>
        </w:numPr>
        <w:spacing w:before="240"/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sz w:val="24"/>
          <w:szCs w:val="24"/>
        </w:rPr>
        <w:t>Zapewnia pełną, bezstratną kompatybilność (odczyt, edycja, zapis) z formatami plików: .</w:t>
      </w:r>
      <w:proofErr w:type="spellStart"/>
      <w:r w:rsidRPr="00F67512">
        <w:rPr>
          <w:rFonts w:ascii="Times New Roman" w:hAnsi="Times New Roman" w:cs="Times New Roman"/>
          <w:sz w:val="24"/>
          <w:szCs w:val="24"/>
        </w:rPr>
        <w:t>docx</w:t>
      </w:r>
      <w:proofErr w:type="spellEnd"/>
      <w:r w:rsidRPr="00F67512">
        <w:rPr>
          <w:rFonts w:ascii="Times New Roman" w:hAnsi="Times New Roman" w:cs="Times New Roman"/>
          <w:sz w:val="24"/>
          <w:szCs w:val="24"/>
        </w:rPr>
        <w:t>, .</w:t>
      </w:r>
      <w:proofErr w:type="spellStart"/>
      <w:r w:rsidRPr="00F67512">
        <w:rPr>
          <w:rFonts w:ascii="Times New Roman" w:hAnsi="Times New Roman" w:cs="Times New Roman"/>
          <w:sz w:val="24"/>
          <w:szCs w:val="24"/>
        </w:rPr>
        <w:t>xlsx</w:t>
      </w:r>
      <w:proofErr w:type="spellEnd"/>
      <w:r w:rsidRPr="00F67512">
        <w:rPr>
          <w:rFonts w:ascii="Times New Roman" w:hAnsi="Times New Roman" w:cs="Times New Roman"/>
          <w:sz w:val="24"/>
          <w:szCs w:val="24"/>
        </w:rPr>
        <w:t>, .</w:t>
      </w:r>
      <w:proofErr w:type="spellStart"/>
      <w:r w:rsidRPr="00F67512">
        <w:rPr>
          <w:rFonts w:ascii="Times New Roman" w:hAnsi="Times New Roman" w:cs="Times New Roman"/>
          <w:sz w:val="24"/>
          <w:szCs w:val="24"/>
        </w:rPr>
        <w:t>pptx</w:t>
      </w:r>
      <w:proofErr w:type="spellEnd"/>
      <w:r w:rsidRPr="00F67512">
        <w:rPr>
          <w:rFonts w:ascii="Times New Roman" w:hAnsi="Times New Roman" w:cs="Times New Roman"/>
          <w:sz w:val="24"/>
          <w:szCs w:val="24"/>
        </w:rPr>
        <w:t>, bez konieczności stosowania zewnętrznych konwerterów.</w:t>
      </w:r>
    </w:p>
    <w:p w:rsidR="003875FA" w:rsidRPr="00F67512" w:rsidRDefault="00F173AC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sz w:val="24"/>
          <w:szCs w:val="24"/>
        </w:rPr>
        <w:t>Posiada interfejs użytkownika w języku polskim.</w:t>
      </w:r>
    </w:p>
    <w:p w:rsidR="003875FA" w:rsidRPr="00F67512" w:rsidRDefault="00F173AC">
      <w:pPr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sz w:val="24"/>
          <w:szCs w:val="24"/>
        </w:rPr>
        <w:t>Nie wymaga stałego połączenia z Internetem do działania (aplikacje instalowane lokalnie).</w:t>
      </w:r>
    </w:p>
    <w:p w:rsidR="003875FA" w:rsidRPr="00F67512" w:rsidRDefault="00F173AC">
      <w:pPr>
        <w:numPr>
          <w:ilvl w:val="0"/>
          <w:numId w:val="1"/>
        </w:numPr>
        <w:spacing w:after="240"/>
        <w:jc w:val="both"/>
        <w:rPr>
          <w:rFonts w:ascii="Times New Roman" w:hAnsi="Times New Roman" w:cs="Times New Roman"/>
          <w:sz w:val="24"/>
          <w:szCs w:val="24"/>
        </w:rPr>
      </w:pPr>
      <w:r w:rsidRPr="00F67512">
        <w:rPr>
          <w:rFonts w:ascii="Times New Roman" w:hAnsi="Times New Roman" w:cs="Times New Roman"/>
          <w:sz w:val="24"/>
          <w:szCs w:val="24"/>
        </w:rPr>
        <w:t>Gwarantuje wsparcie techniczne producenta przez okres min. 5 lat od daty zakupu.</w:t>
      </w:r>
    </w:p>
    <w:sectPr w:rsidR="003875FA" w:rsidRPr="00F67512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5331" w:rsidRDefault="00135331" w:rsidP="008B4FCB">
      <w:pPr>
        <w:spacing w:line="240" w:lineRule="auto"/>
      </w:pPr>
      <w:r>
        <w:separator/>
      </w:r>
    </w:p>
  </w:endnote>
  <w:endnote w:type="continuationSeparator" w:id="0">
    <w:p w:rsidR="00135331" w:rsidRDefault="00135331" w:rsidP="008B4FC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F8B6E058-B160-4C5A-B5B4-532249A4CAA5}"/>
  </w:font>
  <w:font w:name="Open Sans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2" w:fontKey="{6DD7764D-9707-48AE-88C3-9B9D67EBD0E1}"/>
    <w:embedBold r:id="rId3" w:fontKey="{874A5995-706D-4104-9E07-41640E53651C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05B7CA38-8F66-4C83-B1C1-296C0118746B}"/>
    <w:embedBold r:id="rId5" w:fontKey="{11544FB7-BADB-4A3F-8951-03408B98A0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36540239"/>
      <w:docPartObj>
        <w:docPartGallery w:val="Page Numbers (Bottom of Page)"/>
        <w:docPartUnique/>
      </w:docPartObj>
    </w:sdtPr>
    <w:sdtEndPr/>
    <w:sdtContent>
      <w:p w:rsidR="00F5124F" w:rsidRDefault="00F5124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3886" w:rsidRPr="00D13886">
          <w:rPr>
            <w:noProof/>
            <w:lang w:val="pl-PL"/>
          </w:rPr>
          <w:t>2</w:t>
        </w:r>
        <w:r>
          <w:fldChar w:fldCharType="end"/>
        </w:r>
      </w:p>
    </w:sdtContent>
  </w:sdt>
  <w:p w:rsidR="00F5124F" w:rsidRDefault="00F5124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5331" w:rsidRDefault="00135331" w:rsidP="008B4FCB">
      <w:pPr>
        <w:spacing w:line="240" w:lineRule="auto"/>
      </w:pPr>
      <w:r>
        <w:separator/>
      </w:r>
    </w:p>
  </w:footnote>
  <w:footnote w:type="continuationSeparator" w:id="0">
    <w:p w:rsidR="00135331" w:rsidRDefault="00135331" w:rsidP="008B4FC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B4FCB" w:rsidRDefault="008B4FCB">
    <w:pPr>
      <w:pStyle w:val="Nagwek"/>
    </w:pPr>
    <w:r>
      <w:rPr>
        <w:noProof/>
        <w:lang w:val="pl-PL"/>
      </w:rPr>
      <w:drawing>
        <wp:inline distT="0" distB="0" distL="0" distR="0">
          <wp:extent cx="5733415" cy="791176"/>
          <wp:effectExtent l="0" t="0" r="635" b="9525"/>
          <wp:docPr id="1" name="Obraz 1" descr="C:\Users\Emilia Lubińska\Desktop\logo\logotypy fers-obrazy-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milia Lubińska\Desktop\logo\logotypy fers-obrazy-0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3415" cy="79117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0245F1"/>
    <w:multiLevelType w:val="hybridMultilevel"/>
    <w:tmpl w:val="989645E8"/>
    <w:lvl w:ilvl="0" w:tplc="3828BF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B52F89"/>
    <w:multiLevelType w:val="multilevel"/>
    <w:tmpl w:val="C200FF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75FA"/>
    <w:rsid w:val="00135331"/>
    <w:rsid w:val="001D2DCE"/>
    <w:rsid w:val="003875FA"/>
    <w:rsid w:val="005D0D48"/>
    <w:rsid w:val="00784224"/>
    <w:rsid w:val="008B4FCB"/>
    <w:rsid w:val="00C718A1"/>
    <w:rsid w:val="00D13886"/>
    <w:rsid w:val="00D95627"/>
    <w:rsid w:val="00F173AC"/>
    <w:rsid w:val="00F5124F"/>
    <w:rsid w:val="00F67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D539B8"/>
  <w15:docId w15:val="{0BE38CEB-1FE4-45A1-9A1E-4E1076918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8B4FCB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B4FCB"/>
  </w:style>
  <w:style w:type="paragraph" w:styleId="Stopka">
    <w:name w:val="footer"/>
    <w:basedOn w:val="Normalny"/>
    <w:link w:val="StopkaZnak"/>
    <w:uiPriority w:val="99"/>
    <w:unhideWhenUsed/>
    <w:rsid w:val="008B4FCB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B4FCB"/>
  </w:style>
  <w:style w:type="paragraph" w:styleId="Tekstdymka">
    <w:name w:val="Balloon Text"/>
    <w:basedOn w:val="Normalny"/>
    <w:link w:val="TekstdymkaZnak"/>
    <w:uiPriority w:val="99"/>
    <w:semiHidden/>
    <w:unhideWhenUsed/>
    <w:rsid w:val="008B4FC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4FCB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5124F"/>
    <w:pPr>
      <w:autoSpaceDE w:val="0"/>
      <w:autoSpaceDN w:val="0"/>
      <w:adjustRightInd w:val="0"/>
      <w:spacing w:line="240" w:lineRule="auto"/>
    </w:pPr>
    <w:rPr>
      <w:rFonts w:ascii="Open Sans" w:eastAsiaTheme="minorHAnsi" w:hAnsi="Open Sans" w:cs="Open Sans"/>
      <w:color w:val="000000"/>
      <w:sz w:val="24"/>
      <w:szCs w:val="24"/>
      <w:lang w:val="pl-PL" w:eastAsia="en-US"/>
    </w:rPr>
  </w:style>
  <w:style w:type="paragraph" w:styleId="Akapitzlist">
    <w:name w:val="List Paragraph"/>
    <w:basedOn w:val="Normalny"/>
    <w:uiPriority w:val="34"/>
    <w:qFormat/>
    <w:rsid w:val="00F512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766</Words>
  <Characters>4599</Characters>
  <Application>Microsoft Office Word</Application>
  <DocSecurity>0</DocSecurity>
  <Lines>38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Sylwia</dc:creator>
  <cp:lastModifiedBy>Sylwia</cp:lastModifiedBy>
  <cp:revision>5</cp:revision>
  <dcterms:created xsi:type="dcterms:W3CDTF">2026-02-18T08:45:00Z</dcterms:created>
  <dcterms:modified xsi:type="dcterms:W3CDTF">2026-02-18T14:04:00Z</dcterms:modified>
</cp:coreProperties>
</file>